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sz w:val="72"/>
          <w:szCs w:val="72"/>
        </w:rPr>
      </w:pPr>
      <w:r>
        <w:rPr>
          <w:rFonts w:hint="eastAsia"/>
          <w:sz w:val="72"/>
          <w:szCs w:val="72"/>
        </w:rPr>
        <w:t>数显扭矩表使用说明书</w:t>
      </w:r>
    </w:p>
    <w:p>
      <w:pPr>
        <w:rPr>
          <w:rFonts w:hint="eastAsia"/>
        </w:rPr>
      </w:pP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1、概述</w:t>
      </w:r>
    </w:p>
    <w:p>
      <w:pPr>
        <w:bidi w:val="0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数显扭矩表是一款配套棘</w:t>
      </w:r>
      <w:bookmarkStart w:id="0" w:name="_GoBack"/>
      <w:bookmarkEnd w:id="0"/>
      <w:r>
        <w:rPr>
          <w:rFonts w:hint="eastAsia"/>
          <w:lang w:val="en-US" w:eastAsia="zh-CN"/>
        </w:rPr>
        <w:t>轮扳手的扭力监测仪器，用于各种紧固、拆卸控制力度，具有操作简单、携带轻便、多单位转换、声音指示、顺逆可调等功能特点，广泛适用于汽车、自行车、各种机械维修等行业。</w:t>
      </w:r>
    </w:p>
    <w:p>
      <w:pPr>
        <w:bidi w:val="0"/>
        <w:rPr>
          <w:rFonts w:hint="eastAsia"/>
          <w:lang w:val="en-US" w:eastAsia="zh-CN"/>
        </w:rPr>
      </w:pP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2、功能特点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2.1：误差: 顺时针2%，逆时针2.5%。可正反转使用，提高工作效率。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2.2：四种扭矩单位; kgf.cm、N.m、lbf.ft、Ibfin。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2.3：声光报警:有效提供操作的准确性、安全性。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2.4：背光功能:方便夜间或者光度不足的时候清读取数据</w:t>
      </w:r>
    </w:p>
    <w:p>
      <w:pPr>
        <w:bidi w:val="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2.5：双模式操作:实时模式、峰值模式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2.6：电源:2节7号干电池 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2.7：自动关机：2分钟无操作自动关机</w:t>
      </w:r>
    </w:p>
    <w:p>
      <w:pPr>
        <w:bidi w:val="0"/>
        <w:rPr>
          <w:rFonts w:hint="eastAsia"/>
          <w:lang w:val="en-US" w:eastAsia="zh-CN"/>
        </w:rPr>
      </w:pPr>
    </w:p>
    <w:p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3、产品组件</w:t>
      </w:r>
    </w:p>
    <w:p>
      <w:pPr>
        <w:bidi w:val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【扭矩表主体】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023235" cy="2319655"/>
            <wp:effectExtent l="0" t="0" r="5715" b="4445"/>
            <wp:docPr id="4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23235" cy="231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【液晶显示屏】</w:t>
      </w:r>
    </w:p>
    <w:p>
      <w:pPr>
        <w:jc w:val="center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4161790" cy="1219200"/>
            <wp:effectExtent l="0" t="0" r="10160" b="0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179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br w:type="page"/>
      </w:r>
    </w:p>
    <w:p>
      <w:pPr>
        <w:jc w:val="both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4、规格参数</w:t>
      </w:r>
    </w:p>
    <w:tbl>
      <w:tblPr>
        <w:tblStyle w:val="5"/>
        <w:tblW w:w="109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9"/>
        <w:gridCol w:w="2251"/>
        <w:gridCol w:w="2251"/>
        <w:gridCol w:w="2251"/>
        <w:gridCol w:w="22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39" w:type="dxa"/>
            <w:shd w:val="clear" w:color="auto" w:fill="auto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  <w:t>型号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default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default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135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200</w:t>
            </w:r>
          </w:p>
        </w:tc>
        <w:tc>
          <w:tcPr>
            <w:tcW w:w="2253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340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39" w:type="dxa"/>
            <w:shd w:val="clear" w:color="auto" w:fill="auto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  <w:t>最小分度值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0.01N.m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0.1N.m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0.1N.m</w:t>
            </w:r>
          </w:p>
        </w:tc>
        <w:tc>
          <w:tcPr>
            <w:tcW w:w="2253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0.1N.m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39" w:type="dxa"/>
            <w:shd w:val="clear" w:color="auto" w:fill="auto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>显示</w:t>
            </w: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  <w:t>范围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0.9-30N.m</w:t>
            </w:r>
          </w:p>
        </w:tc>
        <w:tc>
          <w:tcPr>
            <w:tcW w:w="2251" w:type="dxa"/>
            <w:shd w:val="clear" w:color="auto" w:fill="auto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4-135N.m</w:t>
            </w:r>
          </w:p>
        </w:tc>
        <w:tc>
          <w:tcPr>
            <w:tcW w:w="2251" w:type="dxa"/>
            <w:shd w:val="clear" w:color="auto" w:fill="auto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6-200N.m</w:t>
            </w:r>
          </w:p>
        </w:tc>
        <w:tc>
          <w:tcPr>
            <w:tcW w:w="2253" w:type="dxa"/>
            <w:shd w:val="clear" w:color="auto" w:fill="auto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10.2-340N.m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39" w:type="dxa"/>
            <w:shd w:val="clear" w:color="auto" w:fill="auto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>预设值</w:t>
            </w: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  <w:t>范围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1.8-30N.m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default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8.1-135N.m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12-200N.m</w:t>
            </w:r>
          </w:p>
        </w:tc>
        <w:tc>
          <w:tcPr>
            <w:tcW w:w="2253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20.4-340N.m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39" w:type="dxa"/>
            <w:shd w:val="clear" w:color="auto" w:fill="auto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  <w:t>连接头</w:t>
            </w:r>
          </w:p>
        </w:tc>
        <w:tc>
          <w:tcPr>
            <w:tcW w:w="2251" w:type="dxa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1/4</w:t>
            </w:r>
          </w:p>
        </w:tc>
        <w:tc>
          <w:tcPr>
            <w:tcW w:w="2251" w:type="dxa"/>
            <w:shd w:val="clear" w:color="auto" w:fill="auto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3/8</w:t>
            </w:r>
          </w:p>
        </w:tc>
        <w:tc>
          <w:tcPr>
            <w:tcW w:w="2251" w:type="dxa"/>
            <w:shd w:val="clear" w:color="auto" w:fill="auto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1/2</w:t>
            </w:r>
          </w:p>
        </w:tc>
        <w:tc>
          <w:tcPr>
            <w:tcW w:w="2253" w:type="dxa"/>
            <w:shd w:val="clear" w:color="auto" w:fill="auto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1/2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39" w:type="dxa"/>
            <w:shd w:val="clear" w:color="auto" w:fill="auto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kern w:val="2"/>
                <w:sz w:val="22"/>
                <w:szCs w:val="22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  <w:lang w:val="en-US" w:eastAsia="zh-CN"/>
              </w:rPr>
              <w:t>蜂鸣报警范围</w:t>
            </w:r>
          </w:p>
        </w:tc>
        <w:tc>
          <w:tcPr>
            <w:tcW w:w="9006" w:type="dxa"/>
            <w:gridSpan w:val="4"/>
            <w:vAlign w:val="top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default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80%-100%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39" w:type="dxa"/>
            <w:shd w:val="clear" w:color="auto" w:fill="auto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highlight w:val="none"/>
                <w:shd w:val="clear" w:color="auto" w:fill="auto"/>
              </w:rPr>
              <w:t>扭力精度</w:t>
            </w:r>
          </w:p>
        </w:tc>
        <w:tc>
          <w:tcPr>
            <w:tcW w:w="9006" w:type="dxa"/>
            <w:gridSpan w:val="4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eastAsia="zh-CN"/>
              </w:rPr>
            </w:pP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eastAsia="zh-CN"/>
              </w:rPr>
              <w:t>顺时针</w:t>
            </w: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2%；</w:t>
            </w: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eastAsia="zh-CN"/>
              </w:rPr>
              <w:t>逆时针</w:t>
            </w:r>
            <w:r>
              <w:rPr>
                <w:rFonts w:hint="eastAsia" w:ascii="新宋体" w:hAnsi="新宋体" w:eastAsia="新宋体" w:cs="新宋体"/>
                <w:color w:val="FF0000"/>
                <w:sz w:val="22"/>
                <w:szCs w:val="22"/>
                <w:lang w:val="en-US" w:eastAsia="zh-CN"/>
              </w:rPr>
              <w:t>2.5%</w:t>
            </w:r>
          </w:p>
        </w:tc>
      </w:tr>
    </w:tbl>
    <w:p>
      <w:pPr>
        <w:jc w:val="both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jc w:val="both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5、操作说明</w:t>
      </w:r>
    </w:p>
    <w:p>
      <w:pPr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5.1</w:t>
      </w:r>
      <w:r>
        <w:rPr>
          <w:rFonts w:hint="eastAsia"/>
          <w:b/>
          <w:bCs/>
          <w:lang w:val="en-US" w:eastAsia="zh-CN"/>
        </w:rPr>
        <w:t>、</w:t>
      </w:r>
      <w:r>
        <w:rPr>
          <w:rFonts w:hint="default"/>
          <w:b/>
          <w:bCs/>
          <w:lang w:val="en-US" w:eastAsia="zh-CN"/>
        </w:rPr>
        <w:t>开机</w:t>
      </w:r>
    </w:p>
    <w:p>
      <w:pPr>
        <w:bidi w:val="0"/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轻按</w:t>
      </w:r>
      <w:r>
        <w:drawing>
          <wp:inline distT="0" distB="0" distL="114300" distR="114300">
            <wp:extent cx="209550" cy="209550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t>键开机，随后进入工作界面，此时屏幕上显示的扭力值即为声光报警预设值，设置好报警预设值，随即施力即可进入工作状态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PS: (开机后，如果电量是示不足，则自动关机，更换电池后方可正常使用)</w:t>
      </w: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5.2</w:t>
      </w:r>
      <w:r>
        <w:rPr>
          <w:rFonts w:hint="eastAsia"/>
          <w:b/>
          <w:bCs/>
          <w:lang w:val="en-US" w:eastAsia="zh-CN"/>
        </w:rPr>
        <w:t>、</w:t>
      </w:r>
      <w:r>
        <w:rPr>
          <w:rFonts w:hint="default"/>
          <w:b/>
          <w:bCs/>
          <w:lang w:val="en-US" w:eastAsia="zh-CN"/>
        </w:rPr>
        <w:t>声光报警预设值</w:t>
      </w:r>
    </w:p>
    <w:p>
      <w:pPr>
        <w:bidi w:val="0"/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初始工作界面，轻按或长按(</w:t>
      </w:r>
      <w:r>
        <w:rPr>
          <w:rFonts w:hint="eastAsia"/>
          <w:lang w:val="en-US" w:eastAsia="zh-CN"/>
        </w:rPr>
        <w:t>“+”或“-”</w:t>
      </w:r>
      <w:r>
        <w:rPr>
          <w:rFonts w:hint="default"/>
          <w:lang w:val="en-US" w:eastAsia="zh-CN"/>
        </w:rPr>
        <w:t>键即可自由设置报警预设值的大小。当施力到达预设值的80%时，会触发警示灯闪烁并伴有间隙式蜂鸣报警:当持续施力达到预设值的100%时，警示灯由闪烁变为常亮且间隙式蜂鸣报警转为长鸣报警。</w:t>
      </w: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5.</w:t>
      </w:r>
      <w:r>
        <w:rPr>
          <w:rFonts w:hint="eastAsia"/>
          <w:b/>
          <w:bCs/>
          <w:lang w:val="en-US" w:eastAsia="zh-CN"/>
        </w:rPr>
        <w:t>3、</w:t>
      </w:r>
      <w:r>
        <w:rPr>
          <w:rFonts w:hint="default"/>
          <w:b/>
          <w:bCs/>
          <w:lang w:val="en-US" w:eastAsia="zh-CN"/>
        </w:rPr>
        <w:t>单位切换</w:t>
      </w:r>
    </w:p>
    <w:p>
      <w:pPr>
        <w:bidi w:val="0"/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开机状态，</w:t>
      </w:r>
      <w:r>
        <w:rPr>
          <w:rFonts w:hint="eastAsia"/>
          <w:lang w:val="en-US" w:eastAsia="zh-CN"/>
        </w:rPr>
        <w:t>按“U/S”键</w:t>
      </w:r>
      <w:r>
        <w:rPr>
          <w:rFonts w:hint="default"/>
          <w:lang w:val="en-US" w:eastAsia="zh-CN"/>
        </w:rPr>
        <w:t>切换四种工程单位</w:t>
      </w: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5.</w:t>
      </w:r>
      <w:r>
        <w:rPr>
          <w:rFonts w:hint="eastAsia"/>
          <w:b/>
          <w:bCs/>
          <w:lang w:val="en-US" w:eastAsia="zh-CN"/>
        </w:rPr>
        <w:t>4、</w:t>
      </w:r>
      <w:r>
        <w:rPr>
          <w:rFonts w:hint="default"/>
          <w:b/>
          <w:bCs/>
          <w:lang w:val="en-US" w:eastAsia="zh-CN"/>
        </w:rPr>
        <w:t>工作模式切换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[track] 实时模式/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[peak]峰值模式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通过按</w:t>
      </w:r>
      <w:r>
        <w:rPr>
          <w:rFonts w:hint="eastAsia"/>
          <w:lang w:val="en-US" w:eastAsia="zh-CN"/>
        </w:rPr>
        <w:t>“M”</w:t>
      </w:r>
      <w:r>
        <w:rPr>
          <w:rFonts w:hint="default"/>
          <w:lang w:val="en-US" w:eastAsia="zh-CN"/>
        </w:rPr>
        <w:t>键选择需要的工作模式。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A、实时模式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实时</w:t>
      </w:r>
      <w:r>
        <w:rPr>
          <w:rFonts w:hint="eastAsia"/>
          <w:lang w:val="en-US" w:eastAsia="zh-CN"/>
        </w:rPr>
        <w:t>测量</w:t>
      </w:r>
      <w:r>
        <w:rPr>
          <w:rFonts w:hint="default"/>
          <w:lang w:val="en-US" w:eastAsia="zh-CN"/>
        </w:rPr>
        <w:t>模式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开始施力后，屏幕上的数值显示由报警预设值跳为实时扭力值，当卸载扭力时，扭力值自动归零并再次显示为报警预设值，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B、峰值模式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峰值</w:t>
      </w:r>
      <w:r>
        <w:rPr>
          <w:rFonts w:hint="eastAsia"/>
          <w:lang w:val="en-US" w:eastAsia="zh-CN"/>
        </w:rPr>
        <w:t>测量</w:t>
      </w:r>
      <w:r>
        <w:rPr>
          <w:rFonts w:hint="default"/>
          <w:lang w:val="en-US" w:eastAsia="zh-CN"/>
        </w:rPr>
        <w:t>模式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开始施力后，屏幕上的数值显示由报警预设值跳为峰值扭力值。当卸载扭力时，屏幕上显示当前施力过程中的最大峰值并锁定。可以通过</w:t>
      </w:r>
      <w:r>
        <w:drawing>
          <wp:inline distT="0" distB="0" distL="114300" distR="114300">
            <wp:extent cx="209550" cy="209550"/>
            <wp:effectExtent l="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t>按键清零峰值扭力值并返回报警预设值</w:t>
      </w:r>
      <w:r>
        <w:rPr>
          <w:rFonts w:hint="eastAsia"/>
          <w:lang w:val="en-US" w:eastAsia="zh-CN"/>
        </w:rPr>
        <w:t>；</w:t>
      </w:r>
      <w:r>
        <w:rPr>
          <w:rFonts w:hint="default"/>
          <w:lang w:val="en-US" w:eastAsia="zh-CN"/>
        </w:rPr>
        <w:t>也可以通过再次施力更新峰值扭力值</w:t>
      </w:r>
      <w:r>
        <w:rPr>
          <w:rFonts w:hint="eastAsia"/>
          <w:lang w:val="en-US" w:eastAsia="zh-CN"/>
        </w:rPr>
        <w:t>【无需清零】</w:t>
      </w: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5.4 清零功能</w:t>
      </w:r>
    </w:p>
    <w:p>
      <w:pPr>
        <w:bidi w:val="0"/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当显示屏有力值显示时， 可通过轻</w:t>
      </w:r>
      <w:r>
        <w:rPr>
          <w:rFonts w:hint="eastAsia"/>
          <w:lang w:val="en-US" w:eastAsia="zh-CN"/>
        </w:rPr>
        <w:t>按</w:t>
      </w:r>
      <w:r>
        <w:drawing>
          <wp:inline distT="0" distB="0" distL="114300" distR="114300">
            <wp:extent cx="209550" cy="209550"/>
            <wp:effectExtent l="0" t="0" r="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>键将数</w:t>
      </w:r>
      <w:r>
        <w:rPr>
          <w:rFonts w:hint="default"/>
          <w:lang w:val="en-US" w:eastAsia="zh-CN"/>
        </w:rPr>
        <w:t>值清零。</w:t>
      </w:r>
    </w:p>
    <w:p>
      <w:pPr>
        <w:bidi w:val="0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5.5 背光功能</w:t>
      </w:r>
    </w:p>
    <w:p>
      <w:pPr>
        <w:bidi w:val="0"/>
        <w:ind w:firstLine="480" w:firstLineChars="200"/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在仪器开机状态下，同时按住</w:t>
      </w:r>
      <w:r>
        <w:rPr>
          <w:rFonts w:hint="default"/>
          <w:color w:val="FF0000"/>
          <w:lang w:val="en-US" w:eastAsia="zh-CN"/>
        </w:rPr>
        <w:drawing>
          <wp:inline distT="0" distB="0" distL="114300" distR="114300">
            <wp:extent cx="209550" cy="209550"/>
            <wp:effectExtent l="0" t="0" r="0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lang w:val="en-US" w:eastAsia="zh-CN"/>
        </w:rPr>
        <w:t>键和“+”键打开背光，再按一次关闭背光</w:t>
      </w:r>
    </w:p>
    <w:p>
      <w:pPr>
        <w:jc w:val="both"/>
        <w:rPr>
          <w:rFonts w:hint="default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6</w:t>
      </w:r>
      <w:r>
        <w:rPr>
          <w:rFonts w:hint="default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、保养与储存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6.1 注意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为了维持良好精度，建议大约每一年需重新校正一次。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6.2 超过扭力可能会造成损坏或精度损失 (超最大扭力范围105%)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6.3 请勿将扭矩表刷烈摇是或将扭矩表掉落地上。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6.4 请勿将扭矩表放在高温、高湿度或是太阳直射的地方。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6.5 如果不小心将扭矩表弄涅，请立刻用干毛巾擦干。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6.6 请匆重压LCD屏幕</w:t>
      </w:r>
    </w:p>
    <w:p>
      <w:pP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7、随机附件</w:t>
      </w:r>
    </w:p>
    <w:tbl>
      <w:tblPr>
        <w:tblStyle w:val="9"/>
        <w:tblW w:w="9298" w:type="dxa"/>
        <w:jc w:val="center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3"/>
        <w:gridCol w:w="4725"/>
        <w:gridCol w:w="2880"/>
      </w:tblGrid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  <w:jc w:val="center"/>
        </w:trPr>
        <w:tc>
          <w:tcPr>
            <w:tcW w:w="1693" w:type="dxa"/>
            <w:vAlign w:val="center"/>
          </w:tcPr>
          <w:p>
            <w:pPr>
              <w:bidi w:val="0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序号</w:t>
            </w:r>
          </w:p>
        </w:tc>
        <w:tc>
          <w:tcPr>
            <w:tcW w:w="4725" w:type="dxa"/>
            <w:vAlign w:val="center"/>
          </w:tcPr>
          <w:p>
            <w:pPr>
              <w:bidi w:val="0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名   称</w:t>
            </w:r>
          </w:p>
        </w:tc>
        <w:tc>
          <w:tcPr>
            <w:tcW w:w="2880" w:type="dxa"/>
            <w:vAlign w:val="center"/>
          </w:tcPr>
          <w:p>
            <w:pPr>
              <w:bidi w:val="0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数量</w:t>
            </w: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  <w:jc w:val="center"/>
        </w:trPr>
        <w:tc>
          <w:tcPr>
            <w:tcW w:w="1693" w:type="dxa"/>
            <w:vAlign w:val="center"/>
          </w:tcPr>
          <w:p>
            <w:pPr>
              <w:bidi w:val="0"/>
              <w:jc w:val="center"/>
              <w:rPr>
                <w:rFonts w:hint="eastAsia" w:eastAsiaTheme="minorEastAsia"/>
                <w:color w:val="FF0000"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color w:val="FF0000"/>
                <w:sz w:val="36"/>
                <w:szCs w:val="36"/>
                <w:lang w:val="en-US" w:eastAsia="zh-CN"/>
              </w:rPr>
              <w:t>1</w:t>
            </w:r>
          </w:p>
        </w:tc>
        <w:tc>
          <w:tcPr>
            <w:tcW w:w="4725" w:type="dxa"/>
            <w:vAlign w:val="center"/>
          </w:tcPr>
          <w:p>
            <w:pPr>
              <w:bidi w:val="0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数显扭矩表</w:t>
            </w:r>
          </w:p>
        </w:tc>
        <w:tc>
          <w:tcPr>
            <w:tcW w:w="2880" w:type="dxa"/>
            <w:vAlign w:val="center"/>
          </w:tcPr>
          <w:p>
            <w:pPr>
              <w:bidi w:val="0"/>
              <w:jc w:val="center"/>
              <w:rPr>
                <w:rFonts w:hint="eastAsia" w:eastAsiaTheme="minorEastAsia"/>
                <w:color w:val="FF0000"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color w:val="FF0000"/>
                <w:sz w:val="36"/>
                <w:szCs w:val="36"/>
                <w:lang w:val="en-US" w:eastAsia="zh-CN"/>
              </w:rPr>
              <w:t>1只</w:t>
            </w: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  <w:jc w:val="center"/>
        </w:trPr>
        <w:tc>
          <w:tcPr>
            <w:tcW w:w="1693" w:type="dxa"/>
            <w:vAlign w:val="center"/>
          </w:tcPr>
          <w:p>
            <w:pPr>
              <w:bidi w:val="0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2</w:t>
            </w:r>
          </w:p>
        </w:tc>
        <w:tc>
          <w:tcPr>
            <w:tcW w:w="4725" w:type="dxa"/>
            <w:vAlign w:val="center"/>
          </w:tcPr>
          <w:p>
            <w:pPr>
              <w:bidi w:val="0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7#电池</w:t>
            </w:r>
          </w:p>
        </w:tc>
        <w:tc>
          <w:tcPr>
            <w:tcW w:w="2880" w:type="dxa"/>
            <w:vAlign w:val="center"/>
          </w:tcPr>
          <w:p>
            <w:pPr>
              <w:bidi w:val="0"/>
              <w:jc w:val="center"/>
              <w:rPr>
                <w:rFonts w:hint="eastAsia" w:eastAsiaTheme="minorEastAsia"/>
                <w:color w:val="FF0000"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color w:val="FF0000"/>
                <w:sz w:val="36"/>
                <w:szCs w:val="36"/>
                <w:lang w:val="en-US" w:eastAsia="zh-CN"/>
              </w:rPr>
              <w:t>2节</w:t>
            </w: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  <w:jc w:val="center"/>
        </w:trPr>
        <w:tc>
          <w:tcPr>
            <w:tcW w:w="1693" w:type="dxa"/>
            <w:vAlign w:val="center"/>
          </w:tcPr>
          <w:p>
            <w:pPr>
              <w:bidi w:val="0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3</w:t>
            </w:r>
          </w:p>
        </w:tc>
        <w:tc>
          <w:tcPr>
            <w:tcW w:w="4725" w:type="dxa"/>
            <w:vAlign w:val="center"/>
          </w:tcPr>
          <w:p>
            <w:pPr>
              <w:bidi w:val="0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说明书</w:t>
            </w:r>
          </w:p>
        </w:tc>
        <w:tc>
          <w:tcPr>
            <w:tcW w:w="2880" w:type="dxa"/>
            <w:vAlign w:val="center"/>
          </w:tcPr>
          <w:p>
            <w:pPr>
              <w:bidi w:val="0"/>
              <w:jc w:val="center"/>
              <w:rPr>
                <w:rFonts w:hint="eastAsia" w:eastAsiaTheme="minorEastAsia"/>
                <w:color w:val="FF0000"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color w:val="FF0000"/>
                <w:sz w:val="36"/>
                <w:szCs w:val="36"/>
                <w:lang w:val="en-US" w:eastAsia="zh-CN"/>
              </w:rPr>
              <w:t>1份</w:t>
            </w: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  <w:jc w:val="center"/>
        </w:trPr>
        <w:tc>
          <w:tcPr>
            <w:tcW w:w="1693" w:type="dxa"/>
            <w:vAlign w:val="center"/>
          </w:tcPr>
          <w:p>
            <w:pPr>
              <w:bidi w:val="0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4</w:t>
            </w:r>
          </w:p>
        </w:tc>
        <w:tc>
          <w:tcPr>
            <w:tcW w:w="4725" w:type="dxa"/>
            <w:vAlign w:val="center"/>
          </w:tcPr>
          <w:p>
            <w:pPr>
              <w:bidi w:val="0"/>
              <w:jc w:val="center"/>
              <w:rPr>
                <w:rFonts w:hint="default" w:eastAsiaTheme="minorEastAsia"/>
                <w:color w:val="FF0000"/>
                <w:sz w:val="36"/>
                <w:szCs w:val="36"/>
                <w:lang w:val="en-US" w:eastAsia="zh-CN"/>
              </w:rPr>
            </w:pPr>
            <w:r>
              <w:rPr>
                <w:color w:val="FF0000"/>
                <w:sz w:val="36"/>
                <w:szCs w:val="36"/>
              </w:rPr>
              <w:t>合格证</w:t>
            </w:r>
            <w:r>
              <w:rPr>
                <w:rFonts w:hint="eastAsia"/>
                <w:color w:val="FF0000"/>
                <w:sz w:val="36"/>
                <w:szCs w:val="36"/>
                <w:lang w:val="en-US" w:eastAsia="zh-CN"/>
              </w:rPr>
              <w:t>/保修卡</w:t>
            </w:r>
          </w:p>
        </w:tc>
        <w:tc>
          <w:tcPr>
            <w:tcW w:w="2880" w:type="dxa"/>
            <w:vAlign w:val="center"/>
          </w:tcPr>
          <w:p>
            <w:pPr>
              <w:bidi w:val="0"/>
              <w:jc w:val="center"/>
              <w:rPr>
                <w:rFonts w:hint="eastAsia" w:eastAsiaTheme="minorEastAsia"/>
                <w:color w:val="FF0000"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color w:val="FF0000"/>
                <w:sz w:val="36"/>
                <w:szCs w:val="36"/>
                <w:lang w:val="en-US" w:eastAsia="zh-CN"/>
              </w:rPr>
              <w:t>1份</w:t>
            </w: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  <w:jc w:val="center"/>
        </w:trPr>
        <w:tc>
          <w:tcPr>
            <w:tcW w:w="1693" w:type="dxa"/>
            <w:vAlign w:val="center"/>
          </w:tcPr>
          <w:p>
            <w:pPr>
              <w:tabs>
                <w:tab w:val="right" w:pos="1683"/>
              </w:tabs>
              <w:bidi w:val="0"/>
              <w:jc w:val="center"/>
              <w:rPr>
                <w:rFonts w:hint="eastAsia" w:eastAsiaTheme="minorEastAsia"/>
                <w:color w:val="FF0000"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color w:val="FF0000"/>
                <w:sz w:val="36"/>
                <w:szCs w:val="36"/>
                <w:lang w:val="en-US" w:eastAsia="zh-CN"/>
              </w:rPr>
              <w:t>5</w:t>
            </w:r>
          </w:p>
        </w:tc>
        <w:tc>
          <w:tcPr>
            <w:tcW w:w="4725" w:type="dxa"/>
            <w:vAlign w:val="center"/>
          </w:tcPr>
          <w:p>
            <w:pPr>
              <w:bidi w:val="0"/>
              <w:jc w:val="center"/>
              <w:rPr>
                <w:rFonts w:hint="eastAsia" w:eastAsiaTheme="minorEastAsia"/>
                <w:color w:val="FF0000"/>
                <w:sz w:val="36"/>
                <w:szCs w:val="36"/>
                <w:lang w:eastAsia="zh-CN"/>
              </w:rPr>
            </w:pPr>
            <w:r>
              <w:rPr>
                <w:rFonts w:hint="eastAsia"/>
                <w:color w:val="FF0000"/>
                <w:sz w:val="36"/>
                <w:szCs w:val="36"/>
                <w:lang w:eastAsia="zh-CN"/>
              </w:rPr>
              <w:t>干燥剂</w:t>
            </w:r>
          </w:p>
        </w:tc>
        <w:tc>
          <w:tcPr>
            <w:tcW w:w="2880" w:type="dxa"/>
            <w:vAlign w:val="center"/>
          </w:tcPr>
          <w:p>
            <w:pPr>
              <w:bidi w:val="0"/>
              <w:jc w:val="center"/>
              <w:rPr>
                <w:rFonts w:hint="eastAsia" w:eastAsiaTheme="minorEastAsia"/>
                <w:color w:val="FF0000"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color w:val="FF0000"/>
                <w:sz w:val="36"/>
                <w:szCs w:val="36"/>
                <w:lang w:val="en-US" w:eastAsia="zh-CN"/>
              </w:rPr>
              <w:t>1包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/>
          <w:color w:val="FF0000"/>
          <w:lang w:val="en-US" w:eastAsia="zh-CN"/>
        </w:rPr>
        <w:t>注：转接头不作为标配件配置，可根据使用情况进行选配</w:t>
      </w:r>
    </w:p>
    <w:sectPr>
      <w:pgSz w:w="11906" w:h="16838"/>
      <w:pgMar w:top="850" w:right="283" w:bottom="850" w:left="28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zMWE3MTViYjE0MGIwMjE0YmU4YWU5MWFlZDY4MDUifQ=="/>
  </w:docVars>
  <w:rsids>
    <w:rsidRoot w:val="51FE59C1"/>
    <w:rsid w:val="01F420DF"/>
    <w:rsid w:val="2B1C6CE5"/>
    <w:rsid w:val="2B6556F4"/>
    <w:rsid w:val="2BE24A25"/>
    <w:rsid w:val="35F80F8E"/>
    <w:rsid w:val="51FE59C1"/>
    <w:rsid w:val="5DEF0BC8"/>
    <w:rsid w:val="6D8812EF"/>
    <w:rsid w:val="751A0A83"/>
    <w:rsid w:val="7D2E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8"/>
    <w:unhideWhenUsed/>
    <w:qFormat/>
    <w:uiPriority w:val="0"/>
    <w:pPr>
      <w:keepNext/>
      <w:keepLines/>
      <w:spacing w:before="260" w:beforeLines="0" w:beforeAutospacing="0" w:after="260" w:afterLines="0" w:afterAutospacing="0" w:line="30" w:lineRule="exact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标题 1 Char"/>
    <w:link w:val="2"/>
    <w:qFormat/>
    <w:uiPriority w:val="0"/>
    <w:rPr>
      <w:b/>
      <w:kern w:val="44"/>
      <w:sz w:val="44"/>
    </w:rPr>
  </w:style>
  <w:style w:type="character" w:customStyle="1" w:styleId="8">
    <w:name w:val="标题 2 Char"/>
    <w:link w:val="3"/>
    <w:qFormat/>
    <w:uiPriority w:val="0"/>
    <w:rPr>
      <w:rFonts w:ascii="Arial" w:hAnsi="Arial" w:eastAsia="黑体"/>
      <w:b/>
      <w:sz w:val="32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2023-08-21T06:46:00Z</dcterms:created>
  <dc:creator>Administrator</dc:creator>
  <cp:lastModifiedBy>亿佰亿张昭</cp:lastModifiedBy>
  <dcterms:modified xsi:type="dcterms:W3CDTF">2023-09-27T00:23:38Z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7CB3A3B34ED34BE88ADD8E815B7EBD73_11</vt:lpwstr>
  </property>
</Properties>
</file>